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_GBK" w:hAnsi="Times New Roman" w:eastAsia="方正小标宋_GBK" w:cs="方正仿宋简体"/>
          <w:color w:val="000000"/>
          <w:sz w:val="32"/>
          <w:szCs w:val="32"/>
        </w:rPr>
      </w:pPr>
      <w:r>
        <w:rPr>
          <w:rFonts w:hint="eastAsia" w:ascii="方正小标宋_GBK" w:hAnsi="Times New Roman" w:eastAsia="方正小标宋_GBK" w:cs="方正仿宋简体"/>
          <w:color w:val="000000"/>
          <w:sz w:val="32"/>
          <w:szCs w:val="32"/>
        </w:rPr>
        <w:t>大同市产品质量监督抽查实施细则</w:t>
      </w:r>
    </w:p>
    <w:p>
      <w:pPr>
        <w:jc w:val="center"/>
        <w:rPr>
          <w:rFonts w:hint="eastAsia" w:ascii="方正小标宋_GBK" w:hAnsi="Times New Roman" w:eastAsia="方正小标宋_GBK" w:cs="方正仿宋简体"/>
          <w:color w:val="000000"/>
          <w:sz w:val="32"/>
          <w:szCs w:val="32"/>
        </w:rPr>
      </w:pPr>
      <w:r>
        <w:rPr>
          <w:rFonts w:hint="eastAsia" w:ascii="方正小标宋_GBK" w:hAnsi="Times New Roman" w:eastAsia="方正小标宋_GBK" w:cs="方正仿宋简体"/>
          <w:color w:val="000000"/>
          <w:sz w:val="32"/>
          <w:szCs w:val="32"/>
        </w:rPr>
        <w:t>给水用硬聚氯乙烯(PVC-U)管材</w:t>
      </w:r>
    </w:p>
    <w:p>
      <w:pPr>
        <w:jc w:val="center"/>
        <w:rPr>
          <w:rFonts w:hint="eastAsia" w:ascii="方正小标宋_GBK" w:hAnsi="Times New Roman" w:eastAsia="方正小标宋_GBK" w:cs="方正仿宋简体"/>
          <w:color w:val="000000"/>
          <w:sz w:val="32"/>
          <w:szCs w:val="32"/>
        </w:rPr>
      </w:pPr>
    </w:p>
    <w:p>
      <w:pPr>
        <w:spacing w:line="500" w:lineRule="exact"/>
        <w:rPr>
          <w:rFonts w:hint="eastAsia" w:ascii="黑体" w:hAnsi="黑体" w:eastAsia="黑体" w:cs="黑体"/>
          <w:b/>
          <w:bCs/>
          <w:color w:val="000000"/>
          <w:szCs w:val="21"/>
        </w:rPr>
      </w:pPr>
      <w:r>
        <w:rPr>
          <w:rFonts w:hint="eastAsia" w:ascii="黑体" w:hAnsi="黑体" w:eastAsia="黑体" w:cs="黑体"/>
          <w:b/>
          <w:bCs/>
          <w:color w:val="000000"/>
          <w:szCs w:val="21"/>
        </w:rPr>
        <w:t xml:space="preserve">1 抽样方法 </w:t>
      </w:r>
    </w:p>
    <w:p>
      <w:pPr>
        <w:spacing w:line="500" w:lineRule="exact"/>
        <w:rPr>
          <w:rFonts w:ascii="Times New Roman" w:hAnsi="Times New Roman" w:eastAsia="宋体" w:cs="Times New Roman"/>
          <w:b/>
          <w:szCs w:val="21"/>
        </w:rPr>
      </w:pPr>
      <w:r>
        <w:rPr>
          <w:rFonts w:ascii="Times New Roman" w:hAnsi="Times New Roman" w:eastAsia="宋体" w:cs="Times New Roman"/>
          <w:szCs w:val="21"/>
        </w:rPr>
        <w:t>1.1</w:t>
      </w:r>
      <w:r>
        <w:rPr>
          <w:rFonts w:ascii="Times New Roman" w:hAnsi="Times New Roman" w:eastAsia="宋体" w:cs="Times New Roman"/>
          <w:color w:val="000000"/>
          <w:szCs w:val="21"/>
        </w:rPr>
        <w:t>以随机抽样的方式在被抽样生产者、销售者的待销产品中抽取。</w:t>
      </w:r>
    </w:p>
    <w:p>
      <w:pPr>
        <w:spacing w:line="500" w:lineRule="exact"/>
        <w:rPr>
          <w:rFonts w:ascii="Times New Roman" w:hAnsi="Times New Roman" w:eastAsia="宋体" w:cs="Times New Roman"/>
          <w:color w:val="000000"/>
          <w:szCs w:val="21"/>
        </w:rPr>
      </w:pPr>
      <w:r>
        <w:rPr>
          <w:rFonts w:ascii="Times New Roman" w:hAnsi="Times New Roman" w:eastAsia="宋体" w:cs="Times New Roman"/>
          <w:color w:val="000000"/>
          <w:szCs w:val="21"/>
        </w:rPr>
        <w:t>1.2随机数一般可使用随机数表</w:t>
      </w:r>
      <w:r>
        <w:rPr>
          <w:rFonts w:hint="eastAsia" w:ascii="Times New Roman" w:hAnsi="Times New Roman" w:eastAsia="宋体" w:cs="Times New Roman"/>
          <w:color w:val="000000"/>
          <w:szCs w:val="21"/>
        </w:rPr>
        <w:t>、扑克牌</w:t>
      </w:r>
      <w:r>
        <w:rPr>
          <w:rFonts w:ascii="Times New Roman" w:hAnsi="Times New Roman" w:eastAsia="宋体" w:cs="Times New Roman"/>
          <w:color w:val="000000"/>
          <w:szCs w:val="21"/>
        </w:rPr>
        <w:t>等方法产生。</w:t>
      </w:r>
    </w:p>
    <w:p>
      <w:pPr>
        <w:snapToGrid w:val="0"/>
        <w:spacing w:line="440" w:lineRule="exact"/>
        <w:rPr>
          <w:rFonts w:ascii="Times New Roman" w:hAnsi="Times New Roman" w:eastAsia="宋体" w:cs="Times New Roman"/>
          <w:color w:val="FF0000"/>
          <w:szCs w:val="21"/>
        </w:rPr>
      </w:pPr>
      <w:r>
        <w:rPr>
          <w:rFonts w:ascii="Times New Roman" w:hAnsi="Times New Roman" w:eastAsia="宋体" w:cs="Times New Roman"/>
          <w:szCs w:val="21"/>
        </w:rPr>
        <w:t>1.3</w:t>
      </w:r>
      <w:r>
        <w:rPr>
          <w:rFonts w:hint="eastAsia" w:ascii="Times New Roman" w:hAnsi="Times New Roman" w:eastAsia="宋体" w:cs="Times New Roman"/>
          <w:color w:val="000000"/>
          <w:szCs w:val="21"/>
          <w:highlight w:val="none"/>
        </w:rPr>
        <w:t>给水用硬聚氯乙烯(PVC-U)管材产品抽样时</w:t>
      </w:r>
      <w:r>
        <w:rPr>
          <w:rFonts w:ascii="Times New Roman" w:hAnsi="Times New Roman" w:eastAsia="宋体" w:cs="Times New Roman"/>
          <w:color w:val="000000"/>
          <w:szCs w:val="21"/>
          <w:highlight w:val="none"/>
        </w:rPr>
        <w:t>，</w:t>
      </w:r>
      <w:r>
        <w:rPr>
          <w:rFonts w:hint="eastAsia" w:ascii="宋体" w:hAnsi="宋体" w:eastAsia="宋体" w:cs="宋体"/>
          <w:szCs w:val="21"/>
          <w:highlight w:val="none"/>
          <w:lang w:eastAsia="zh-CN"/>
        </w:rPr>
        <w:t>样品需要</w:t>
      </w:r>
      <w:r>
        <w:rPr>
          <w:rFonts w:hint="eastAsia" w:ascii="宋体" w:hAnsi="宋体" w:eastAsia="宋体" w:cs="宋体"/>
          <w:szCs w:val="21"/>
        </w:rPr>
        <w:t>截成</w:t>
      </w:r>
      <w:r>
        <w:rPr>
          <w:rFonts w:hint="eastAsia" w:ascii="宋体" w:hAnsi="宋体" w:eastAsia="宋体" w:cs="宋体"/>
          <w:szCs w:val="21"/>
          <w:lang w:val="en-US" w:eastAsia="zh-CN"/>
        </w:rPr>
        <w:t>4</w:t>
      </w:r>
      <w:r>
        <w:rPr>
          <w:rFonts w:hint="eastAsia" w:ascii="宋体" w:hAnsi="宋体" w:eastAsia="宋体" w:cs="宋体"/>
          <w:szCs w:val="21"/>
        </w:rPr>
        <w:t>段（1米/段），</w:t>
      </w:r>
      <w:r>
        <w:rPr>
          <w:rFonts w:hint="eastAsia" w:ascii="宋体" w:hAnsi="宋体" w:eastAsia="宋体" w:cs="宋体"/>
          <w:szCs w:val="21"/>
          <w:lang w:val="en-US" w:eastAsia="zh-CN"/>
        </w:rPr>
        <w:t>3</w:t>
      </w:r>
      <w:r>
        <w:rPr>
          <w:rFonts w:hint="eastAsia" w:ascii="宋体" w:hAnsi="宋体" w:eastAsia="宋体" w:cs="宋体"/>
          <w:szCs w:val="21"/>
        </w:rPr>
        <w:t>段作为检验样品，</w:t>
      </w:r>
      <w:r>
        <w:rPr>
          <w:rFonts w:hint="eastAsia" w:ascii="宋体" w:hAnsi="宋体" w:eastAsia="宋体" w:cs="宋体"/>
          <w:szCs w:val="21"/>
          <w:lang w:val="en-US" w:eastAsia="zh-CN"/>
        </w:rPr>
        <w:t>1</w:t>
      </w:r>
      <w:r>
        <w:rPr>
          <w:rFonts w:hint="eastAsia" w:ascii="宋体" w:hAnsi="宋体" w:eastAsia="宋体" w:cs="宋体"/>
          <w:szCs w:val="21"/>
        </w:rPr>
        <w:t>段作为备用样品</w:t>
      </w:r>
      <w:r>
        <w:rPr>
          <w:rFonts w:hint="eastAsia" w:ascii="宋体" w:hAnsi="宋体" w:eastAsia="宋体" w:cs="宋体"/>
          <w:szCs w:val="21"/>
          <w:lang w:eastAsia="zh-CN"/>
        </w:rPr>
        <w:t>；</w:t>
      </w:r>
      <w:r>
        <w:rPr>
          <w:rFonts w:hint="eastAsia" w:ascii="宋体" w:hAnsi="宋体" w:eastAsia="宋体" w:cs="宋体"/>
          <w:szCs w:val="21"/>
          <w:lang w:val="en-US" w:eastAsia="zh-CN"/>
        </w:rPr>
        <w:t>其中1段检验样品截成3段长为（200±20）mm。</w:t>
      </w:r>
    </w:p>
    <w:p>
      <w:pPr>
        <w:spacing w:line="500" w:lineRule="exact"/>
        <w:rPr>
          <w:rFonts w:ascii="Times New Roman" w:hAnsi="Times New Roman" w:eastAsia="黑体" w:cs="Times New Roman"/>
          <w:bCs/>
          <w:color w:val="000000"/>
          <w:szCs w:val="21"/>
        </w:rPr>
      </w:pPr>
      <w:r>
        <w:rPr>
          <w:rFonts w:hint="eastAsia" w:ascii="黑体" w:hAnsi="黑体" w:eastAsia="黑体" w:cs="黑体"/>
          <w:b/>
          <w:bCs/>
          <w:color w:val="000000"/>
          <w:szCs w:val="21"/>
        </w:rPr>
        <w:t>2 检验依据</w:t>
      </w:r>
    </w:p>
    <w:p>
      <w:pPr>
        <w:spacing w:line="500" w:lineRule="exact"/>
        <w:ind w:firstLine="3360" w:firstLineChars="1600"/>
        <w:rPr>
          <w:rFonts w:ascii="Times New Roman" w:hAnsi="Times New Roman" w:eastAsia="宋体" w:cs="Times New Roman"/>
          <w:color w:val="000000"/>
          <w:szCs w:val="21"/>
        </w:rPr>
      </w:pPr>
      <w:r>
        <w:rPr>
          <w:rFonts w:hint="eastAsia" w:ascii="宋体" w:hAnsi="宋体" w:eastAsia="宋体" w:cs="宋体"/>
          <w:szCs w:val="21"/>
        </w:rPr>
        <w:t>给水用硬聚氯乙烯(PVC-U)管材</w:t>
      </w:r>
      <w:r>
        <w:rPr>
          <w:rFonts w:ascii="Times New Roman" w:hAnsi="Times New Roman" w:eastAsia="宋体" w:cs="Times New Roman"/>
          <w:color w:val="000000"/>
          <w:szCs w:val="21"/>
        </w:rPr>
        <w:t>检验依据</w:t>
      </w:r>
    </w:p>
    <w:tbl>
      <w:tblPr>
        <w:tblStyle w:val="4"/>
        <w:tblW w:w="421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6"/>
        <w:gridCol w:w="3534"/>
        <w:gridCol w:w="34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655" w:type="pct"/>
            <w:vAlign w:val="center"/>
          </w:tcPr>
          <w:p>
            <w:pPr>
              <w:adjustRightInd w:val="0"/>
              <w:snapToGrid w:val="0"/>
              <w:spacing w:line="500" w:lineRule="exact"/>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序号</w:t>
            </w:r>
          </w:p>
        </w:tc>
        <w:tc>
          <w:tcPr>
            <w:tcW w:w="2190" w:type="pct"/>
            <w:vAlign w:val="center"/>
          </w:tcPr>
          <w:p>
            <w:pPr>
              <w:adjustRightInd w:val="0"/>
              <w:snapToGrid w:val="0"/>
              <w:spacing w:line="500" w:lineRule="exact"/>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检验项目</w:t>
            </w:r>
          </w:p>
        </w:tc>
        <w:tc>
          <w:tcPr>
            <w:tcW w:w="2154" w:type="pct"/>
            <w:vAlign w:val="center"/>
          </w:tcPr>
          <w:p>
            <w:pPr>
              <w:adjustRightInd w:val="0"/>
              <w:snapToGrid w:val="0"/>
              <w:spacing w:line="500" w:lineRule="exact"/>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655" w:type="pct"/>
            <w:vAlign w:val="center"/>
          </w:tcPr>
          <w:p>
            <w:pPr>
              <w:adjustRightInd w:val="0"/>
              <w:snapToGrid w:val="0"/>
              <w:spacing w:line="500" w:lineRule="exact"/>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1</w:t>
            </w:r>
          </w:p>
        </w:tc>
        <w:tc>
          <w:tcPr>
            <w:tcW w:w="2190" w:type="pct"/>
            <w:vAlign w:val="center"/>
          </w:tcPr>
          <w:p>
            <w:pPr>
              <w:adjustRightInd w:val="0"/>
              <w:snapToGrid w:val="0"/>
              <w:spacing w:line="500" w:lineRule="exact"/>
              <w:jc w:val="center"/>
              <w:rPr>
                <w:rFonts w:ascii="Times New Roman" w:hAnsi="Times New Roman" w:eastAsia="宋体" w:cs="Times New Roman"/>
                <w:color w:val="000000"/>
                <w:szCs w:val="21"/>
              </w:rPr>
            </w:pPr>
            <w:r>
              <w:rPr>
                <w:rFonts w:hint="eastAsia" w:ascii="Times New Roman" w:hAnsi="Times New Roman" w:eastAsia="宋体" w:cs="Times New Roman"/>
                <w:color w:val="000000"/>
                <w:szCs w:val="21"/>
              </w:rPr>
              <w:t>外观</w:t>
            </w:r>
          </w:p>
        </w:tc>
        <w:tc>
          <w:tcPr>
            <w:tcW w:w="2154" w:type="pct"/>
            <w:vAlign w:val="center"/>
          </w:tcPr>
          <w:p>
            <w:pPr>
              <w:adjustRightInd w:val="0"/>
              <w:snapToGrid w:val="0"/>
              <w:spacing w:line="500" w:lineRule="exact"/>
              <w:ind w:firstLine="420" w:firstLineChars="200"/>
              <w:rPr>
                <w:rFonts w:hint="eastAsia" w:ascii="宋体" w:hAnsi="宋体" w:eastAsia="宋体" w:cs="Times New Roman"/>
                <w:szCs w:val="21"/>
              </w:rPr>
            </w:pPr>
            <w:r>
              <w:rPr>
                <w:rFonts w:hint="eastAsia" w:ascii="宋体" w:hAnsi="宋体" w:eastAsia="宋体" w:cs="Times New Roman"/>
                <w:szCs w:val="21"/>
              </w:rPr>
              <w:t>GB/T 10002.1-2023</w:t>
            </w:r>
            <w:r>
              <w:rPr>
                <w:rFonts w:hint="eastAsia" w:ascii="宋体" w:hAnsi="宋体" w:eastAsia="宋体" w:cs="Times New Roman"/>
                <w:szCs w:val="21"/>
                <w:lang w:eastAsia="zh-CN"/>
              </w:rPr>
              <w:t>中</w:t>
            </w:r>
            <w:r>
              <w:rPr>
                <w:rFonts w:hint="eastAsia" w:ascii="宋体" w:hAnsi="宋体" w:eastAsia="宋体" w:cs="Times New Roman"/>
                <w:szCs w:val="21"/>
                <w:lang w:val="en-US" w:eastAsia="zh-CN"/>
              </w:rPr>
              <w:t>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655" w:type="pct"/>
            <w:vAlign w:val="center"/>
          </w:tcPr>
          <w:p>
            <w:pPr>
              <w:adjustRightInd w:val="0"/>
              <w:snapToGrid w:val="0"/>
              <w:spacing w:line="500" w:lineRule="exact"/>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2</w:t>
            </w:r>
          </w:p>
        </w:tc>
        <w:tc>
          <w:tcPr>
            <w:tcW w:w="2190" w:type="pct"/>
            <w:vAlign w:val="center"/>
          </w:tcPr>
          <w:p>
            <w:pPr>
              <w:adjustRightInd w:val="0"/>
              <w:snapToGrid w:val="0"/>
              <w:spacing w:line="500" w:lineRule="exact"/>
              <w:jc w:val="center"/>
              <w:rPr>
                <w:rFonts w:ascii="Times New Roman" w:hAnsi="Times New Roman" w:eastAsia="宋体" w:cs="Times New Roman"/>
                <w:color w:val="000000"/>
                <w:szCs w:val="21"/>
              </w:rPr>
            </w:pPr>
            <w:r>
              <w:rPr>
                <w:rFonts w:hint="eastAsia" w:ascii="Times New Roman" w:hAnsi="Times New Roman" w:eastAsia="宋体" w:cs="Times New Roman"/>
                <w:color w:val="000000"/>
                <w:szCs w:val="21"/>
                <w:lang w:eastAsia="zh-CN"/>
              </w:rPr>
              <w:t>管材</w:t>
            </w:r>
            <w:r>
              <w:rPr>
                <w:rFonts w:hint="eastAsia" w:ascii="Times New Roman" w:hAnsi="Times New Roman" w:eastAsia="宋体" w:cs="Times New Roman"/>
                <w:color w:val="000000"/>
                <w:szCs w:val="21"/>
              </w:rPr>
              <w:t>尺寸</w:t>
            </w:r>
          </w:p>
        </w:tc>
        <w:tc>
          <w:tcPr>
            <w:tcW w:w="2154" w:type="pct"/>
            <w:vAlign w:val="center"/>
          </w:tcPr>
          <w:p>
            <w:pPr>
              <w:adjustRightInd w:val="0"/>
              <w:snapToGrid w:val="0"/>
              <w:spacing w:line="500" w:lineRule="exact"/>
              <w:ind w:firstLine="420" w:firstLineChars="200"/>
              <w:rPr>
                <w:rFonts w:hint="eastAsia" w:ascii="宋体" w:hAnsi="宋体" w:eastAsia="宋体" w:cs="Times New Roman"/>
                <w:szCs w:val="21"/>
              </w:rPr>
            </w:pPr>
            <w:r>
              <w:rPr>
                <w:rFonts w:hint="eastAsia" w:ascii="宋体" w:hAnsi="宋体" w:eastAsia="宋体" w:cs="Times New Roman"/>
                <w:szCs w:val="21"/>
              </w:rPr>
              <w:t>GB/T 10002.1-2023</w:t>
            </w:r>
            <w:r>
              <w:rPr>
                <w:rFonts w:hint="eastAsia" w:ascii="宋体" w:hAnsi="宋体" w:eastAsia="宋体" w:cs="Times New Roman"/>
                <w:szCs w:val="21"/>
                <w:lang w:eastAsia="zh-CN"/>
              </w:rPr>
              <w:t>中</w:t>
            </w:r>
            <w:r>
              <w:rPr>
                <w:rFonts w:hint="eastAsia" w:ascii="宋体" w:hAnsi="宋体" w:eastAsia="宋体" w:cs="Times New Roman"/>
                <w:szCs w:val="21"/>
                <w:lang w:val="en-US" w:eastAsia="zh-CN"/>
              </w:rPr>
              <w:t>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655" w:type="pct"/>
            <w:vAlign w:val="center"/>
          </w:tcPr>
          <w:p>
            <w:pPr>
              <w:adjustRightInd w:val="0"/>
              <w:snapToGrid w:val="0"/>
              <w:spacing w:line="500" w:lineRule="exact"/>
              <w:jc w:val="center"/>
              <w:rPr>
                <w:rFonts w:ascii="Times New Roman" w:hAnsi="Times New Roman" w:eastAsia="宋体" w:cs="Times New Roman"/>
                <w:color w:val="000000"/>
                <w:szCs w:val="21"/>
              </w:rPr>
            </w:pPr>
            <w:r>
              <w:rPr>
                <w:rFonts w:hint="eastAsia" w:ascii="Times New Roman" w:hAnsi="Times New Roman" w:eastAsia="宋体" w:cs="Times New Roman"/>
                <w:color w:val="000000"/>
                <w:szCs w:val="21"/>
              </w:rPr>
              <w:t>3</w:t>
            </w:r>
          </w:p>
        </w:tc>
        <w:tc>
          <w:tcPr>
            <w:tcW w:w="2190" w:type="pct"/>
            <w:vAlign w:val="center"/>
          </w:tcPr>
          <w:p>
            <w:pPr>
              <w:adjustRightInd w:val="0"/>
              <w:snapToGrid w:val="0"/>
              <w:spacing w:line="500" w:lineRule="exact"/>
              <w:jc w:val="center"/>
              <w:rPr>
                <w:rFonts w:ascii="Times New Roman" w:hAnsi="Times New Roman" w:eastAsia="宋体" w:cs="Times New Roman"/>
                <w:color w:val="000000"/>
                <w:szCs w:val="21"/>
              </w:rPr>
            </w:pPr>
            <w:r>
              <w:rPr>
                <w:rFonts w:hint="eastAsia" w:ascii="Times New Roman" w:hAnsi="Times New Roman" w:eastAsia="宋体" w:cs="Times New Roman"/>
                <w:color w:val="000000"/>
                <w:szCs w:val="21"/>
              </w:rPr>
              <w:t>纵向回缩率</w:t>
            </w:r>
          </w:p>
        </w:tc>
        <w:tc>
          <w:tcPr>
            <w:tcW w:w="2154" w:type="pct"/>
            <w:vAlign w:val="center"/>
          </w:tcPr>
          <w:p>
            <w:pPr>
              <w:adjustRightInd w:val="0"/>
              <w:snapToGrid w:val="0"/>
              <w:spacing w:line="500" w:lineRule="exact"/>
              <w:ind w:firstLine="420" w:firstLineChars="200"/>
              <w:rPr>
                <w:rFonts w:hint="eastAsia" w:ascii="宋体" w:hAnsi="宋体" w:eastAsia="宋体" w:cs="Times New Roman"/>
                <w:szCs w:val="21"/>
              </w:rPr>
            </w:pPr>
            <w:r>
              <w:rPr>
                <w:rFonts w:hint="eastAsia" w:ascii="宋体" w:hAnsi="宋体" w:eastAsia="宋体" w:cs="Times New Roman"/>
                <w:szCs w:val="21"/>
                <w:lang w:val="en-US" w:eastAsia="zh-CN"/>
              </w:rPr>
              <w:t>GB/T 6671-2001中5方法B</w:t>
            </w:r>
          </w:p>
        </w:tc>
      </w:tr>
    </w:tbl>
    <w:p>
      <w:pPr>
        <w:adjustRightInd w:val="0"/>
        <w:snapToGrid w:val="0"/>
        <w:spacing w:line="500" w:lineRule="exact"/>
        <w:ind w:firstLine="420" w:firstLineChars="200"/>
        <w:rPr>
          <w:rFonts w:ascii="Times New Roman" w:hAnsi="Times New Roman" w:eastAsia="宋体" w:cs="Times New Roman"/>
          <w:color w:val="000000"/>
          <w:szCs w:val="21"/>
        </w:rPr>
      </w:pPr>
      <w:r>
        <w:rPr>
          <w:rFonts w:ascii="Times New Roman" w:hAnsi="Times New Roman" w:eastAsia="宋体" w:cs="Times New Roman"/>
          <w:color w:val="000000"/>
          <w:szCs w:val="21"/>
        </w:rPr>
        <w:t>执行企业标准、团体标准、地方标准的产品，检验项目参照上述内容执行。</w:t>
      </w:r>
    </w:p>
    <w:p>
      <w:pPr>
        <w:adjustRightInd w:val="0"/>
        <w:snapToGrid w:val="0"/>
        <w:spacing w:line="500" w:lineRule="exact"/>
        <w:ind w:firstLine="420" w:firstLineChars="200"/>
        <w:rPr>
          <w:rFonts w:ascii="Times New Roman" w:hAnsi="Times New Roman" w:eastAsia="宋体" w:cs="Times New Roman"/>
          <w:color w:val="000000"/>
          <w:szCs w:val="21"/>
        </w:rPr>
      </w:pPr>
      <w:r>
        <w:rPr>
          <w:rFonts w:ascii="Times New Roman" w:hAnsi="Times New Roman" w:eastAsia="宋体" w:cs="Times New Roman"/>
          <w:color w:val="000000"/>
          <w:szCs w:val="21"/>
        </w:rPr>
        <w:t>凡是注日期的文件，其随后所有的修改单（不包括勘误的内容）或修订版不适用于本细则。凡是不注日期的文件，其最新版本适用于本细则。</w:t>
      </w:r>
    </w:p>
    <w:p>
      <w:pPr>
        <w:spacing w:line="500" w:lineRule="exact"/>
        <w:rPr>
          <w:rFonts w:ascii="黑体" w:hAnsi="黑体" w:eastAsia="黑体" w:cs="黑体"/>
          <w:b/>
          <w:bCs/>
          <w:color w:val="000000"/>
          <w:szCs w:val="21"/>
        </w:rPr>
      </w:pPr>
      <w:r>
        <w:rPr>
          <w:rFonts w:hint="eastAsia" w:ascii="黑体" w:hAnsi="黑体" w:eastAsia="黑体" w:cs="黑体"/>
          <w:b/>
          <w:bCs/>
          <w:color w:val="000000"/>
          <w:szCs w:val="21"/>
        </w:rPr>
        <w:t>3 判定规则</w:t>
      </w:r>
    </w:p>
    <w:p>
      <w:pPr>
        <w:adjustRightInd w:val="0"/>
        <w:snapToGrid w:val="0"/>
        <w:spacing w:line="500" w:lineRule="exact"/>
        <w:rPr>
          <w:rFonts w:ascii="Times New Roman" w:hAnsi="Times New Roman" w:eastAsia="宋体" w:cs="Times New Roman"/>
          <w:color w:val="000000"/>
          <w:szCs w:val="21"/>
        </w:rPr>
      </w:pPr>
      <w:r>
        <w:rPr>
          <w:rFonts w:ascii="Times New Roman" w:hAnsi="Times New Roman" w:eastAsia="宋体" w:cs="Times New Roman"/>
          <w:color w:val="000000"/>
          <w:szCs w:val="21"/>
        </w:rPr>
        <w:t>3.1依据标准</w:t>
      </w:r>
    </w:p>
    <w:p>
      <w:pPr>
        <w:adjustRightInd w:val="0"/>
        <w:snapToGrid w:val="0"/>
        <w:spacing w:line="500" w:lineRule="exact"/>
        <w:ind w:firstLine="420" w:firstLineChars="200"/>
        <w:rPr>
          <w:rFonts w:hint="eastAsia" w:ascii="宋体" w:hAnsi="宋体" w:eastAsia="宋体" w:cs="Times New Roman"/>
          <w:szCs w:val="21"/>
        </w:rPr>
      </w:pPr>
      <w:r>
        <w:rPr>
          <w:rFonts w:hint="eastAsia" w:ascii="宋体" w:hAnsi="宋体" w:eastAsia="宋体" w:cs="Times New Roman"/>
          <w:szCs w:val="21"/>
        </w:rPr>
        <w:t xml:space="preserve"> GB/T 10002.1-2023</w:t>
      </w:r>
      <w:r>
        <w:rPr>
          <w:rFonts w:hint="eastAsia" w:ascii="宋体" w:hAnsi="宋体" w:eastAsia="宋体" w:cs="Times New Roman"/>
          <w:szCs w:val="21"/>
          <w:lang w:val="en-US" w:eastAsia="zh-CN"/>
        </w:rPr>
        <w:t xml:space="preserve"> </w:t>
      </w:r>
      <w:r>
        <w:rPr>
          <w:rFonts w:hint="eastAsia" w:ascii="宋体" w:hAnsi="宋体" w:eastAsia="宋体" w:cs="Times New Roman"/>
          <w:szCs w:val="21"/>
        </w:rPr>
        <w:t xml:space="preserve">《给水用聚氯乙烯 (PVC-U) 管材》 </w:t>
      </w:r>
    </w:p>
    <w:p>
      <w:pPr>
        <w:adjustRightInd w:val="0"/>
        <w:snapToGrid w:val="0"/>
        <w:spacing w:line="500" w:lineRule="exact"/>
        <w:ind w:firstLine="420" w:firstLineChars="200"/>
        <w:rPr>
          <w:rFonts w:ascii="宋体" w:hAnsi="宋体" w:eastAsia="宋体" w:cs="Times New Roman"/>
          <w:szCs w:val="21"/>
        </w:rPr>
      </w:pPr>
      <w:r>
        <w:rPr>
          <w:rFonts w:ascii="宋体" w:hAnsi="宋体" w:eastAsia="宋体" w:cs="Times New Roman"/>
          <w:szCs w:val="21"/>
        </w:rPr>
        <w:t>现行有效的企业标准、团体标准、地方标准及产品明示质量要求</w:t>
      </w:r>
    </w:p>
    <w:p>
      <w:pPr>
        <w:adjustRightInd w:val="0"/>
        <w:snapToGrid w:val="0"/>
        <w:spacing w:line="500" w:lineRule="exact"/>
        <w:rPr>
          <w:rFonts w:ascii="宋体" w:hAnsi="宋体" w:eastAsia="宋体" w:cs="Times New Roman"/>
          <w:szCs w:val="21"/>
        </w:rPr>
      </w:pPr>
      <w:r>
        <w:rPr>
          <w:rFonts w:ascii="宋体" w:hAnsi="宋体" w:eastAsia="宋体" w:cs="Times New Roman"/>
          <w:szCs w:val="21"/>
        </w:rPr>
        <w:t>3.2判定规则</w:t>
      </w:r>
    </w:p>
    <w:p>
      <w:pPr>
        <w:adjustRightInd w:val="0"/>
        <w:snapToGrid w:val="0"/>
        <w:spacing w:line="500" w:lineRule="exact"/>
        <w:ind w:firstLine="420" w:firstLineChars="200"/>
        <w:rPr>
          <w:rFonts w:ascii="Times New Roman" w:hAnsi="Times New Roman" w:eastAsia="宋体" w:cs="Times New Roman"/>
          <w:color w:val="000000"/>
          <w:szCs w:val="21"/>
        </w:rPr>
      </w:pPr>
      <w:r>
        <w:rPr>
          <w:rFonts w:ascii="Times New Roman" w:hAnsi="Times New Roman" w:eastAsia="宋体" w:cs="Times New Roman"/>
          <w:color w:val="000000"/>
          <w:szCs w:val="21"/>
        </w:rPr>
        <w:t>经检验，检验项目全部合格，判定为被抽查产品所检项目未发现不合格；检验项目中任一项或一项以上不合格，判定为被抽查产品不合格。</w:t>
      </w:r>
    </w:p>
    <w:p>
      <w:pPr>
        <w:adjustRightInd w:val="0"/>
        <w:snapToGrid w:val="0"/>
        <w:spacing w:line="500" w:lineRule="exact"/>
        <w:ind w:firstLine="420" w:firstLineChars="200"/>
        <w:rPr>
          <w:rFonts w:ascii="Times New Roman" w:hAnsi="Times New Roman" w:eastAsia="宋体" w:cs="Times New Roman"/>
          <w:color w:val="000000"/>
          <w:szCs w:val="21"/>
        </w:rPr>
      </w:pPr>
      <w:r>
        <w:rPr>
          <w:rFonts w:ascii="Times New Roman" w:hAnsi="Times New Roman" w:eastAsia="宋体" w:cs="Times New Roman"/>
          <w:color w:val="000000"/>
          <w:szCs w:val="21"/>
        </w:rPr>
        <w:t>若被检产品明示的质量要求高于本细则中检验项目依据的标准要求时，应按被检产品明示的质量要求判定。</w:t>
      </w:r>
    </w:p>
    <w:p>
      <w:pPr>
        <w:adjustRightInd w:val="0"/>
        <w:snapToGrid w:val="0"/>
        <w:spacing w:line="500" w:lineRule="exact"/>
        <w:ind w:firstLine="417" w:firstLineChars="199"/>
        <w:rPr>
          <w:rFonts w:ascii="宋体" w:hAnsi="宋体" w:eastAsia="宋体" w:cs="Times New Roman"/>
          <w:color w:val="000000"/>
          <w:szCs w:val="21"/>
        </w:rPr>
      </w:pPr>
      <w:r>
        <w:rPr>
          <w:rFonts w:ascii="宋体" w:hAnsi="宋体" w:eastAsia="宋体" w:cs="Times New Roman"/>
          <w:color w:val="000000"/>
          <w:szCs w:val="21"/>
        </w:rPr>
        <w:t>若被检产品明示的质量要求低于本细则中检验项目依据的强制性标准要求时，应按照强制性标准要求判定。</w:t>
      </w:r>
    </w:p>
    <w:p>
      <w:pPr>
        <w:adjustRightInd w:val="0"/>
        <w:snapToGrid w:val="0"/>
        <w:spacing w:line="500" w:lineRule="exact"/>
        <w:ind w:firstLine="417" w:firstLineChars="199"/>
        <w:rPr>
          <w:rFonts w:ascii="宋体" w:hAnsi="宋体" w:eastAsia="宋体" w:cs="Times New Roman"/>
          <w:color w:val="000000"/>
          <w:szCs w:val="21"/>
        </w:rPr>
      </w:pPr>
      <w:r>
        <w:rPr>
          <w:rFonts w:ascii="宋体" w:hAnsi="宋体" w:eastAsia="宋体" w:cs="Times New Roman"/>
          <w:color w:val="000000"/>
          <w:szCs w:val="21"/>
        </w:rPr>
        <w:t>若被检产品明示的质量要求低于或包含本细则中检验项目依据的推荐性标准要求时，应以被检产品明示的质量要求判定。</w:t>
      </w:r>
    </w:p>
    <w:p>
      <w:pPr>
        <w:adjustRightInd w:val="0"/>
        <w:snapToGrid w:val="0"/>
        <w:spacing w:line="500" w:lineRule="exact"/>
        <w:ind w:firstLine="417" w:firstLineChars="199"/>
        <w:rPr>
          <w:rFonts w:ascii="宋体" w:hAnsi="宋体" w:eastAsia="宋体" w:cs="Times New Roman"/>
          <w:color w:val="000000"/>
          <w:szCs w:val="21"/>
        </w:rPr>
      </w:pPr>
      <w:r>
        <w:rPr>
          <w:rFonts w:ascii="宋体" w:hAnsi="宋体" w:eastAsia="宋体" w:cs="Times New Roman"/>
          <w:color w:val="000000"/>
          <w:szCs w:val="21"/>
        </w:rPr>
        <w:t>若被检产品明示的质量要求缺少本细则中检验项目依据的强制性标准要求时，应按照强制性标准要求判定。</w:t>
      </w:r>
    </w:p>
    <w:p>
      <w:pPr>
        <w:adjustRightInd w:val="0"/>
        <w:snapToGrid w:val="0"/>
        <w:spacing w:line="500" w:lineRule="exact"/>
        <w:ind w:firstLine="417" w:firstLineChars="199"/>
        <w:rPr>
          <w:rFonts w:ascii="宋体" w:hAnsi="宋体" w:eastAsia="宋体" w:cs="Times New Roman"/>
          <w:color w:val="000000"/>
          <w:szCs w:val="21"/>
        </w:rPr>
      </w:pPr>
      <w:r>
        <w:rPr>
          <w:rFonts w:ascii="宋体" w:hAnsi="宋体" w:eastAsia="宋体" w:cs="Times New Roman"/>
          <w:color w:val="000000"/>
          <w:szCs w:val="21"/>
        </w:rPr>
        <w:t>若被检产品明示的质量要求缺少本细则中检验项目依据的推荐性标准要求时，该项目不参与判定</w:t>
      </w:r>
    </w:p>
    <w:p>
      <w:pPr>
        <w:adjustRightInd w:val="0"/>
        <w:snapToGrid w:val="0"/>
        <w:spacing w:line="500" w:lineRule="exact"/>
        <w:rPr>
          <w:rFonts w:ascii="宋体" w:hAnsi="宋体" w:eastAsia="宋体" w:cs="Times New Roman"/>
          <w:color w:val="FF0000"/>
          <w:szCs w:val="21"/>
        </w:rPr>
      </w:pPr>
      <w:r>
        <w:rPr>
          <w:rFonts w:ascii="宋体" w:hAnsi="宋体" w:eastAsia="宋体" w:cs="Times New Roman"/>
          <w:szCs w:val="21"/>
        </w:rPr>
        <w:t>3.3判定结论用语</w:t>
      </w:r>
      <w:bookmarkStart w:id="0" w:name="_GoBack"/>
      <w:bookmarkEnd w:id="0"/>
    </w:p>
    <w:p>
      <w:pPr>
        <w:adjustRightInd w:val="0"/>
        <w:snapToGrid w:val="0"/>
        <w:spacing w:line="500" w:lineRule="exact"/>
        <w:ind w:firstLine="420" w:firstLineChars="200"/>
        <w:rPr>
          <w:rFonts w:ascii="宋体" w:hAnsi="宋体" w:eastAsia="宋体" w:cs="Times New Roman"/>
          <w:color w:val="000000"/>
          <w:szCs w:val="21"/>
        </w:rPr>
      </w:pPr>
      <w:r>
        <w:rPr>
          <w:rFonts w:ascii="宋体" w:hAnsi="宋体" w:eastAsia="宋体" w:cs="Times New Roman"/>
          <w:szCs w:val="21"/>
        </w:rPr>
        <w:t>3.3.1合格结论用语：经抽样检验，所</w:t>
      </w:r>
      <w:r>
        <w:rPr>
          <w:rFonts w:ascii="宋体" w:hAnsi="宋体" w:eastAsia="宋体" w:cs="Times New Roman"/>
          <w:color w:val="000000"/>
          <w:szCs w:val="21"/>
        </w:rPr>
        <w:t>检项</w:t>
      </w:r>
      <w:r>
        <w:rPr>
          <w:rFonts w:ascii="宋体" w:hAnsi="宋体" w:eastAsia="宋体" w:cs="Times New Roman"/>
          <w:szCs w:val="21"/>
        </w:rPr>
        <w:t>目符合</w:t>
      </w:r>
      <w:r>
        <w:rPr>
          <w:rFonts w:hint="eastAsia" w:ascii="宋体" w:hAnsi="宋体" w:eastAsia="宋体" w:cs="Times New Roman"/>
          <w:szCs w:val="21"/>
        </w:rPr>
        <w:t xml:space="preserve"> GB/T 10002.1-2023</w:t>
      </w:r>
      <w:r>
        <w:rPr>
          <w:rFonts w:hint="eastAsia" w:ascii="宋体" w:hAnsi="宋体" w:eastAsia="宋体" w:cs="Times New Roman"/>
          <w:szCs w:val="21"/>
          <w:lang w:val="en-US" w:eastAsia="zh-CN"/>
        </w:rPr>
        <w:t xml:space="preserve">  </w:t>
      </w:r>
      <w:r>
        <w:rPr>
          <w:rFonts w:hint="eastAsia" w:ascii="宋体" w:hAnsi="宋体" w:eastAsia="宋体" w:cs="Times New Roman"/>
          <w:szCs w:val="21"/>
        </w:rPr>
        <w:t xml:space="preserve">《给水用聚氯乙烯 (PVC-U) 管材》 </w:t>
      </w:r>
      <w:r>
        <w:rPr>
          <w:rFonts w:ascii="宋体" w:hAnsi="宋体" w:eastAsia="宋体" w:cs="Times New Roman"/>
          <w:szCs w:val="21"/>
        </w:rPr>
        <w:t>,依据大同市市场监督管理局</w:t>
      </w:r>
      <w:r>
        <w:rPr>
          <w:rFonts w:hint="eastAsia" w:ascii="宋体" w:hAnsi="宋体" w:eastAsia="宋体" w:cs="Times New Roman"/>
          <w:szCs w:val="21"/>
        </w:rPr>
        <w:t>202</w:t>
      </w:r>
      <w:r>
        <w:rPr>
          <w:rFonts w:hint="eastAsia" w:ascii="宋体" w:hAnsi="宋体" w:eastAsia="宋体" w:cs="Times New Roman"/>
          <w:szCs w:val="21"/>
          <w:lang w:val="en-US" w:eastAsia="zh-CN"/>
        </w:rPr>
        <w:t>6</w:t>
      </w:r>
      <w:r>
        <w:rPr>
          <w:rFonts w:hint="eastAsia" w:ascii="宋体" w:hAnsi="宋体" w:eastAsia="宋体" w:cs="Times New Roman"/>
          <w:szCs w:val="21"/>
        </w:rPr>
        <w:t>年</w:t>
      </w:r>
      <w:r>
        <w:rPr>
          <w:rFonts w:ascii="宋体" w:hAnsi="宋体" w:eastAsia="宋体" w:cs="Times New Roman"/>
          <w:szCs w:val="21"/>
        </w:rPr>
        <w:t>《大同市</w:t>
      </w:r>
      <w:r>
        <w:rPr>
          <w:rFonts w:hint="eastAsia" w:ascii="宋体" w:hAnsi="宋体" w:eastAsia="宋体" w:cs="Times New Roman"/>
          <w:szCs w:val="21"/>
        </w:rPr>
        <w:t>给水用聚氯乙烯 (PVC-U) 管材</w:t>
      </w:r>
      <w:r>
        <w:rPr>
          <w:rFonts w:ascii="宋体" w:hAnsi="宋体" w:eastAsia="宋体" w:cs="Times New Roman"/>
          <w:szCs w:val="21"/>
        </w:rPr>
        <w:t>产品质量监督抽查实施细则》，判定该被抽查产品所检项目未发现不合格。</w:t>
      </w:r>
    </w:p>
    <w:p>
      <w:pPr>
        <w:snapToGrid w:val="0"/>
        <w:spacing w:line="500" w:lineRule="exact"/>
        <w:ind w:firstLine="417" w:firstLineChars="199"/>
        <w:rPr>
          <w:rFonts w:ascii="宋体" w:hAnsi="宋体" w:eastAsia="宋体" w:cs="Times New Roman"/>
          <w:color w:val="000000"/>
          <w:szCs w:val="21"/>
        </w:rPr>
      </w:pPr>
      <w:r>
        <w:rPr>
          <w:rFonts w:ascii="宋体" w:hAnsi="宋体" w:eastAsia="宋体" w:cs="Times New Roman"/>
          <w:color w:val="000000"/>
          <w:szCs w:val="21"/>
        </w:rPr>
        <w:t>3.3.2 不合格结论用语：经抽样检验，XXX项目不符</w:t>
      </w:r>
      <w:r>
        <w:rPr>
          <w:rFonts w:hint="eastAsia" w:ascii="宋体" w:hAnsi="宋体" w:eastAsia="宋体" w:cs="Times New Roman"/>
          <w:color w:val="000000"/>
          <w:szCs w:val="21"/>
        </w:rPr>
        <w:t>合</w:t>
      </w:r>
      <w:r>
        <w:rPr>
          <w:rFonts w:hint="eastAsia" w:ascii="宋体" w:hAnsi="宋体" w:eastAsia="宋体" w:cs="Times New Roman"/>
          <w:szCs w:val="21"/>
        </w:rPr>
        <w:t>GB/T 10002.1-2023</w:t>
      </w:r>
      <w:r>
        <w:rPr>
          <w:rFonts w:hint="eastAsia" w:ascii="宋体" w:hAnsi="宋体" w:eastAsia="宋体" w:cs="Times New Roman"/>
          <w:szCs w:val="21"/>
          <w:lang w:val="en-US" w:eastAsia="zh-CN"/>
        </w:rPr>
        <w:t xml:space="preserve"> </w:t>
      </w:r>
      <w:r>
        <w:rPr>
          <w:rFonts w:hint="eastAsia" w:ascii="宋体" w:hAnsi="宋体" w:eastAsia="宋体" w:cs="Times New Roman"/>
          <w:szCs w:val="21"/>
        </w:rPr>
        <w:t>《给水用聚氯乙烯 (PVC-U) 管材》</w:t>
      </w:r>
      <w:r>
        <w:rPr>
          <w:rFonts w:ascii="宋体" w:hAnsi="宋体" w:eastAsia="宋体" w:cs="Times New Roman"/>
          <w:szCs w:val="21"/>
        </w:rPr>
        <w:t>,依据大同市市场监督管理局</w:t>
      </w:r>
      <w:r>
        <w:rPr>
          <w:rFonts w:hint="eastAsia" w:ascii="宋体" w:hAnsi="宋体" w:eastAsia="宋体" w:cs="Times New Roman"/>
          <w:szCs w:val="21"/>
        </w:rPr>
        <w:t>202</w:t>
      </w:r>
      <w:r>
        <w:rPr>
          <w:rFonts w:hint="eastAsia" w:ascii="宋体" w:hAnsi="宋体" w:eastAsia="宋体" w:cs="Times New Roman"/>
          <w:szCs w:val="21"/>
          <w:lang w:val="en-US" w:eastAsia="zh-CN"/>
        </w:rPr>
        <w:t>6</w:t>
      </w:r>
      <w:r>
        <w:rPr>
          <w:rFonts w:hint="eastAsia" w:ascii="宋体" w:hAnsi="宋体" w:eastAsia="宋体" w:cs="Times New Roman"/>
          <w:szCs w:val="21"/>
        </w:rPr>
        <w:t>年</w:t>
      </w:r>
      <w:r>
        <w:rPr>
          <w:rFonts w:ascii="宋体" w:hAnsi="宋体" w:eastAsia="宋体" w:cs="Times New Roman"/>
          <w:szCs w:val="21"/>
        </w:rPr>
        <w:t>《大同市</w:t>
      </w:r>
      <w:r>
        <w:rPr>
          <w:rFonts w:hint="eastAsia" w:ascii="宋体" w:hAnsi="宋体" w:eastAsia="宋体" w:cs="Times New Roman"/>
          <w:szCs w:val="21"/>
        </w:rPr>
        <w:t>给水用聚氯乙烯 (PVC-U) 管材</w:t>
      </w:r>
      <w:r>
        <w:rPr>
          <w:rFonts w:ascii="宋体" w:hAnsi="宋体" w:eastAsia="宋体" w:cs="Times New Roman"/>
          <w:szCs w:val="21"/>
        </w:rPr>
        <w:t>产品质量监督抽查实施细则》</w:t>
      </w:r>
      <w:r>
        <w:rPr>
          <w:rFonts w:ascii="宋体" w:hAnsi="宋体" w:eastAsia="宋体" w:cs="Times New Roman"/>
          <w:color w:val="000000"/>
          <w:szCs w:val="21"/>
        </w:rPr>
        <w:t>，判定该被抽查产品为不合格。</w:t>
      </w:r>
    </w:p>
    <w:p>
      <w:pPr>
        <w:spacing w:line="500" w:lineRule="exact"/>
        <w:rPr>
          <w:rFonts w:ascii="宋体" w:hAnsi="宋体" w:eastAsia="宋体" w:cs="Times New Roman"/>
          <w:color w:val="FF0000"/>
          <w:sz w:val="28"/>
          <w:szCs w:val="28"/>
        </w:rPr>
      </w:pPr>
    </w:p>
    <w:p>
      <w:pPr>
        <w:rPr>
          <w:rFonts w:ascii="宋体" w:hAnsi="宋体" w:eastAsia="宋体" w:cs="Times New Roman"/>
        </w:rPr>
      </w:pPr>
    </w:p>
    <w:p>
      <w:pPr>
        <w:rPr>
          <w:rFonts w:ascii="宋体" w:hAnsi="宋体" w:eastAsia="宋体"/>
        </w:rPr>
      </w:pPr>
    </w:p>
    <w:sectPr>
      <w:headerReference r:id="rId3" w:type="default"/>
      <w:footerReference r:id="rId4" w:type="default"/>
      <w:pgSz w:w="11906" w:h="16838"/>
      <w:pgMar w:top="1134" w:right="1134" w:bottom="737" w:left="1418" w:header="851" w:footer="567"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40001"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等线">
    <w:altName w:val="Noto Sans CJK SC"/>
    <w:panose1 w:val="02010600030101010101"/>
    <w:charset w:val="86"/>
    <w:family w:val="auto"/>
    <w:pitch w:val="default"/>
    <w:sig w:usb0="00000000" w:usb1="00000000" w:usb2="00000016" w:usb3="00000000" w:csb0="0004000F" w:csb1="00000000"/>
  </w:font>
  <w:font w:name="等线">
    <w:altName w:val="华文仿宋"/>
    <w:panose1 w:val="00000000000000000000"/>
    <w:charset w:val="86"/>
    <w:family w:val="auto"/>
    <w:pitch w:val="default"/>
    <w:sig w:usb0="00000000" w:usb1="00000000" w:usb2="00000000" w:usb3="00000000" w:csb0="00000000" w:csb1="00000000"/>
  </w:font>
  <w:font w:name="等线">
    <w:altName w:val="URW Bookman"/>
    <w:panose1 w:val="00000000000000000000"/>
    <w:charset w:val="00"/>
    <w:family w:val="auto"/>
    <w:pitch w:val="default"/>
    <w:sig w:usb0="00000000" w:usb1="00000000" w:usb2="00000000" w:usb3="00000000" w:csb0="00000000" w:csb1="00000000"/>
  </w:font>
  <w:font w:name="方正小标宋_GBK">
    <w:panose1 w:val="02000000000000000000"/>
    <w:charset w:val="86"/>
    <w:family w:val="script"/>
    <w:pitch w:val="default"/>
    <w:sig w:usb0="00000001" w:usb1="08000000" w:usb2="00000000" w:usb3="00000000" w:csb0="00040000" w:csb1="00000000"/>
  </w:font>
  <w:font w:name="方正仿宋简体">
    <w:altName w:val="方正仿宋_GBK"/>
    <w:panose1 w:val="02000000000000000000"/>
    <w:charset w:val="86"/>
    <w:family w:val="auto"/>
    <w:pitch w:val="default"/>
    <w:sig w:usb0="00000000" w:usb1="00000000" w:usb2="00000012" w:usb3="00000000" w:csb0="00040001" w:csb1="00000000"/>
  </w:font>
  <w:font w:name="URW Bookman">
    <w:panose1 w:val="00000400000000000000"/>
    <w:charset w:val="00"/>
    <w:family w:val="auto"/>
    <w:pitch w:val="default"/>
    <w:sig w:usb0="00000287" w:usb1="00000800" w:usb2="00000000" w:usb3="00000000" w:csb0="6000009F" w:csb1="00000000"/>
  </w:font>
  <w:font w:name="Nimbus Roman No9 L">
    <w:panose1 w:val="00000000000000000000"/>
    <w:charset w:val="00"/>
    <w:family w:val="auto"/>
    <w:pitch w:val="default"/>
    <w:sig w:usb0="00000000" w:usb1="00000000" w:usb2="00000000" w:usb3="00000000" w:csb0="00000000" w:csb1="00000000"/>
  </w:font>
  <w:font w:name="方正黑体_GBK">
    <w:panose1 w:val="02000000000000000000"/>
    <w:charset w:val="86"/>
    <w:family w:val="auto"/>
    <w:pitch w:val="default"/>
    <w:sig w:usb0="00000001" w:usb1="08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Standard Symbols PS">
    <w:panose1 w:val="05050102010706020507"/>
    <w:charset w:val="00"/>
    <w:family w:val="auto"/>
    <w:pitch w:val="default"/>
    <w:sig w:usb0="00000003" w:usb1="00000000" w:usb2="00000000" w:usb3="00000000" w:csb0="00000001" w:csb1="00000000"/>
  </w:font>
  <w:font w:name="DejaVu Sans">
    <w:panose1 w:val="020B0603030804020204"/>
    <w:charset w:val="00"/>
    <w:family w:val="auto"/>
    <w:pitch w:val="default"/>
    <w:sig w:usb0="E7006EFF" w:usb1="D200FDFF" w:usb2="0A246029" w:usb3="0400200C" w:csb0="600001FF" w:csb1="DFFF0000"/>
  </w:font>
  <w:font w:name="Noto Sans CJK SC">
    <w:panose1 w:val="020B0600000000000000"/>
    <w:charset w:val="86"/>
    <w:family w:val="auto"/>
    <w:pitch w:val="default"/>
    <w:sig w:usb0="30000083" w:usb1="2BDF3C10" w:usb2="00000016" w:usb3="00000000" w:csb0="602E0107" w:csb1="00000000"/>
  </w:font>
  <w:font w:name="华文仿宋">
    <w:panose1 w:val="02010600040101010101"/>
    <w:charset w:val="86"/>
    <w:family w:val="auto"/>
    <w:pitch w:val="default"/>
    <w:sig w:usb0="00000287" w:usb1="080F0000" w:usb2="00000000" w:usb3="00000000" w:csb0="0004009F" w:csb1="DFD7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p>
    <w:pPr>
      <w:pStyle w:val="2"/>
    </w:pPr>
    <w:r>
      <mc:AlternateContent>
        <mc:Choice Requires="wps">
          <w:drawing>
            <wp:anchor distT="0" distB="0" distL="114300" distR="114300" simplePos="0" relativeHeight="251659264" behindDoc="0" locked="0" layoutInCell="1" allowOverlap="1">
              <wp:simplePos x="0" y="0"/>
              <wp:positionH relativeFrom="margin">
                <wp:posOffset>2971800</wp:posOffset>
              </wp:positionH>
              <wp:positionV relativeFrom="paragraph">
                <wp:posOffset>61595</wp:posOffset>
              </wp:positionV>
              <wp:extent cx="57785" cy="131445"/>
              <wp:effectExtent l="0" t="0" r="18415" b="1905"/>
              <wp:wrapNone/>
              <wp:docPr id="1" name="文本框 1"/>
              <wp:cNvGraphicFramePr/>
              <a:graphic xmlns:a="http://schemas.openxmlformats.org/drawingml/2006/main">
                <a:graphicData uri="http://schemas.microsoft.com/office/word/2010/wordprocessingShape">
                  <wps:wsp>
                    <wps:cNvSpPr txBox="true">
                      <a:spLocks noChangeArrowheads="true"/>
                    </wps:cNvSpPr>
                    <wps:spPr bwMode="auto">
                      <a:xfrm>
                        <a:off x="0" y="0"/>
                        <a:ext cx="57785" cy="131445"/>
                      </a:xfrm>
                      <a:prstGeom prst="rect">
                        <a:avLst/>
                      </a:prstGeom>
                      <a:noFill/>
                      <a:ln>
                        <a:noFill/>
                      </a:ln>
                    </wps:spPr>
                    <wps:txbx>
                      <w:txbxContent>
                        <w:p>
                          <w:pPr>
                            <w:pStyle w:val="2"/>
                          </w:pPr>
                          <w:r>
                            <w:rPr>
                              <w:rFonts w:hint="eastAsia"/>
                            </w:rPr>
                            <w:fldChar w:fldCharType="begin"/>
                          </w:r>
                          <w:r>
                            <w:rPr>
                              <w:rFonts w:hint="eastAsia"/>
                            </w:rPr>
                            <w:instrText xml:space="preserve"> PAGE  \* MERGEFORMAT </w:instrText>
                          </w:r>
                          <w:r>
                            <w:rPr>
                              <w:rFonts w:hint="eastAsia"/>
                            </w:rPr>
                            <w:fldChar w:fldCharType="separate"/>
                          </w:r>
                          <w:r>
                            <w:t>2</w:t>
                          </w:r>
                          <w:r>
                            <w:rPr>
                              <w:rFonts w:hint="eastAsia"/>
                            </w:rPr>
                            <w:fldChar w:fldCharType="end"/>
                          </w:r>
                        </w:p>
                      </w:txbxContent>
                    </wps:txbx>
                    <wps:bodyPr rot="0" vert="horz" wrap="none" lIns="0" tIns="0" rIns="0" bIns="0" anchor="t" anchorCtr="false" upright="true">
                      <a:spAutoFit/>
                    </wps:bodyPr>
                  </wps:wsp>
                </a:graphicData>
              </a:graphic>
            </wp:anchor>
          </w:drawing>
        </mc:Choice>
        <mc:Fallback>
          <w:pict>
            <v:shape id="_x0000_s1026" o:spid="_x0000_s1026" o:spt="202" type="#_x0000_t202" style="position:absolute;left:0pt;margin-left:234pt;margin-top:4.85pt;height:10.35pt;width:4.55pt;mso-position-horizontal-relative:margin;mso-wrap-style:none;z-index:251659264;mso-width-relative:page;mso-height-relative:page;" filled="f" stroked="f" coordsize="21600,21600" o:gfxdata="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BYAAABkcnMvUEsBAhQAFAAAAAgAh07iQIOFhkjVAAAACAEAAA8AAAAAAAAAAQAgAAAAOAAA&#10;AGRycy9kb3ducmV2LnhtbFBLAQIUABQAAAAIAIdO4kDDwnsk9QEAAMADAAAOAAAAAAAAAAEAIAAA&#10;ADoBAABkcnMvZTJvRG9jLnhtbFBLBQYAAAAABgAGAFkBAAChBQAAAAA=&#10;">
              <v:fill on="f" focussize="0,0"/>
              <v:stroke on="f"/>
              <v:imagedata o:title=""/>
              <o:lock v:ext="edit" aspectratio="f"/>
              <v:textbox inset="0mm,0mm,0mm,0mm" style="mso-fit-shape-to-text:t;">
                <w:txbxContent>
                  <w:p>
                    <w:pPr>
                      <w:pStyle w:val="2"/>
                    </w:pPr>
                    <w:r>
                      <w:rPr>
                        <w:rFonts w:hint="eastAsia"/>
                      </w:rPr>
                      <w:fldChar w:fldCharType="begin"/>
                    </w:r>
                    <w:r>
                      <w:rPr>
                        <w:rFonts w:hint="eastAsia"/>
                      </w:rPr>
                      <w:instrText xml:space="preserve"> PAGE  \* MERGEFORMAT </w:instrText>
                    </w:r>
                    <w:r>
                      <w:rPr>
                        <w:rFonts w:hint="eastAsia"/>
                      </w:rPr>
                      <w:fldChar w:fldCharType="separate"/>
                    </w:r>
                    <w:r>
                      <w:t>2</w:t>
                    </w:r>
                    <w:r>
                      <w:rPr>
                        <w:rFonts w:hint="eastAsia"/>
                      </w:rPr>
                      <w:fldChar w:fldCharType="end"/>
                    </w:r>
                  </w:p>
                </w:txbxContent>
              </v:textbox>
            </v:shape>
          </w:pict>
        </mc:Fallback>
      </mc:AlternateContent>
    </w:r>
  </w:p>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4511"/>
    <w:rsid w:val="000918C1"/>
    <w:rsid w:val="001941CE"/>
    <w:rsid w:val="002A0D19"/>
    <w:rsid w:val="00465D0E"/>
    <w:rsid w:val="00483001"/>
    <w:rsid w:val="004913E5"/>
    <w:rsid w:val="004A317A"/>
    <w:rsid w:val="004D44CE"/>
    <w:rsid w:val="00584511"/>
    <w:rsid w:val="006B4F5C"/>
    <w:rsid w:val="006C6806"/>
    <w:rsid w:val="00AD2063"/>
    <w:rsid w:val="00AE7A36"/>
    <w:rsid w:val="00C519EF"/>
    <w:rsid w:val="00E27632"/>
    <w:rsid w:val="00EB673C"/>
    <w:rsid w:val="00F752B1"/>
    <w:rsid w:val="022A63F4"/>
    <w:rsid w:val="1C40516C"/>
    <w:rsid w:val="29DA1D55"/>
    <w:rsid w:val="2E051CB2"/>
    <w:rsid w:val="482F7BFF"/>
    <w:rsid w:val="52EF9024"/>
    <w:rsid w:val="57FBD58F"/>
    <w:rsid w:val="5AE43156"/>
    <w:rsid w:val="5BB50D5D"/>
    <w:rsid w:val="6A2538D7"/>
    <w:rsid w:val="6E4C563D"/>
    <w:rsid w:val="6FFB00F4"/>
    <w:rsid w:val="787749DC"/>
    <w:rsid w:val="7EFADDA7"/>
    <w:rsid w:val="B19D608E"/>
    <w:rsid w:val="B7B85784"/>
    <w:rsid w:val="CF7F7344"/>
    <w:rsid w:val="CF9F58B3"/>
    <w:rsid w:val="F7FFEB51"/>
    <w:rsid w:val="FB392A80"/>
    <w:rsid w:val="FDE7CA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6"/>
    <w:qFormat/>
    <w:uiPriority w:val="0"/>
    <w:pPr>
      <w:tabs>
        <w:tab w:val="center" w:pos="4153"/>
        <w:tab w:val="right" w:pos="8306"/>
      </w:tabs>
      <w:snapToGrid w:val="0"/>
      <w:jc w:val="left"/>
    </w:pPr>
    <w:rPr>
      <w:rFonts w:ascii="Times New Roman" w:hAnsi="Times New Roman" w:eastAsia="宋体" w:cs="Times New Roman"/>
      <w:sz w:val="18"/>
      <w:szCs w:val="18"/>
    </w:rPr>
  </w:style>
  <w:style w:type="paragraph" w:styleId="3">
    <w:name w:val="header"/>
    <w:basedOn w:val="1"/>
    <w:link w:val="7"/>
    <w:qFormat/>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szCs w:val="18"/>
    </w:rPr>
  </w:style>
  <w:style w:type="character" w:customStyle="1" w:styleId="6">
    <w:name w:val="页脚 字符"/>
    <w:basedOn w:val="5"/>
    <w:link w:val="2"/>
    <w:qFormat/>
    <w:uiPriority w:val="0"/>
    <w:rPr>
      <w:rFonts w:ascii="Times New Roman" w:hAnsi="Times New Roman" w:eastAsia="宋体" w:cs="Times New Roman"/>
      <w:sz w:val="18"/>
      <w:szCs w:val="18"/>
    </w:rPr>
  </w:style>
  <w:style w:type="character" w:customStyle="1" w:styleId="7">
    <w:name w:val="页眉 字符"/>
    <w:basedOn w:val="5"/>
    <w:link w:val="3"/>
    <w:qFormat/>
    <w:uiPriority w:val="0"/>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943</Words>
  <Characters>1123</Characters>
  <Lines>8</Lines>
  <Paragraphs>2</Paragraphs>
  <TotalTime>1</TotalTime>
  <ScaleCrop>false</ScaleCrop>
  <LinksUpToDate>false</LinksUpToDate>
  <CharactersWithSpaces>1163</CharactersWithSpaces>
  <Application>WPS Office_11.8.2.10290_F1E327BC-269C-435d-A152-05C5408002CA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2024-06-27T16:35:00Z</dcterms:created>
  <dc:creator>Administrator</dc:creator>
  <cp:lastModifiedBy>greatwall</cp:lastModifiedBy>
  <cp:lastPrinted>2026-05-25T17:32:42Z</cp:lastPrinted>
  <dcterms:modified xsi:type="dcterms:W3CDTF">2026-05-25T17:32:46Z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eyJoZGlkIjoiNDM5MDEwMThhODEzMTBhMjc4MDgyYTI2Mjc5NmJiMTUiLCJ1c2VySWQiOiI4NTk0MzE2MzYifQ==</vt:lpwstr>
  </property>
  <property fmtid="{D5CDD505-2E9C-101B-9397-08002B2CF9AE}" pid="3" name="KSOProductBuildVer">
    <vt:lpwstr>2052-11.8.2.10290</vt:lpwstr>
  </property>
  <property fmtid="{D5CDD505-2E9C-101B-9397-08002B2CF9AE}" pid="4" name="ICV">
    <vt:lpwstr>F845BC2D7CC54787B3AED72D611D620C_12</vt:lpwstr>
  </property>
</Properties>
</file>